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F2" w:rsidRDefault="008D17F2">
      <w:pPr>
        <w:jc w:val="right"/>
        <w:rPr>
          <w:sz w:val="28"/>
        </w:rPr>
      </w:pPr>
      <w:r>
        <w:rPr>
          <w:sz w:val="28"/>
        </w:rPr>
        <w:t>Проект</w:t>
      </w:r>
    </w:p>
    <w:p w:rsidR="006F5FDE" w:rsidRDefault="006F5FDE" w:rsidP="006F5FDE">
      <w:pPr>
        <w:pStyle w:val="2"/>
        <w:spacing w:before="600"/>
      </w:pPr>
      <w:r>
        <w:t xml:space="preserve">ПРОТОКОЛ Соглашения </w:t>
      </w:r>
      <w:r w:rsidRPr="006F5FDE">
        <w:t>о внесении изменений</w:t>
      </w:r>
    </w:p>
    <w:p w:rsidR="008D17F2" w:rsidRPr="00F86033" w:rsidRDefault="00E07BAC" w:rsidP="006F5FDE">
      <w:pPr>
        <w:pStyle w:val="2"/>
        <w:spacing w:after="480"/>
      </w:pPr>
      <w:r>
        <w:t xml:space="preserve">к </w:t>
      </w:r>
      <w:r w:rsidR="006F5FDE">
        <w:t>«</w:t>
      </w:r>
      <w:proofErr w:type="spellStart"/>
      <w:r w:rsidR="008D17F2" w:rsidRPr="00F86033">
        <w:t>ПРОТОКОЛ</w:t>
      </w:r>
      <w:r w:rsidR="006F5FDE">
        <w:t>у</w:t>
      </w:r>
      <w:proofErr w:type="spellEnd"/>
      <w:r w:rsidR="008D17F2" w:rsidRPr="00F86033">
        <w:br/>
        <w:t>о внесении изменений в Соглашение об освобождении</w:t>
      </w:r>
      <w:r w:rsidR="008D17F2" w:rsidRPr="00F86033">
        <w:br/>
        <w:t xml:space="preserve">от уплаты таможенных пошлин, налогов и выдачи специальных </w:t>
      </w:r>
      <w:r w:rsidR="008D17F2" w:rsidRPr="00F86033">
        <w:br/>
        <w:t>разрешений за провоз нормативных документов, эталонов, средств</w:t>
      </w:r>
      <w:r w:rsidR="008D17F2" w:rsidRPr="00F86033">
        <w:br/>
        <w:t>измерений и стандартных образцов, провозимых с целью поверки</w:t>
      </w:r>
      <w:r w:rsidR="008D17F2" w:rsidRPr="00F86033">
        <w:br/>
        <w:t>и метрологической аттестации от 10 февраля 1995 года</w:t>
      </w:r>
      <w:r w:rsidR="006F5FDE">
        <w:t>» от 22.11.2007</w:t>
      </w:r>
    </w:p>
    <w:p w:rsidR="008D17F2" w:rsidRDefault="008D17F2" w:rsidP="006F5FDE">
      <w:pPr>
        <w:pStyle w:val="a7"/>
        <w:ind w:firstLine="567"/>
      </w:pPr>
      <w:r>
        <w:tab/>
        <w:t>Правительства государств – участников Соглашения об освобождении от уплаты таможенных пошлин, налогов и выдачи специальных разрешений за провоз нормативных документов, эталонов, средств измерений и стандартных образцов, провозимых с целью поверки</w:t>
      </w:r>
      <w:r w:rsidR="006F5FDE" w:rsidRPr="00BD7B68">
        <w:t>, калибровки, сличения</w:t>
      </w:r>
      <w:r w:rsidRPr="00BD7B68">
        <w:t xml:space="preserve"> и метрологической</w:t>
      </w:r>
      <w:r w:rsidR="006F5FDE" w:rsidRPr="00BD7B68">
        <w:t xml:space="preserve"> </w:t>
      </w:r>
      <w:r w:rsidRPr="00BD7B68">
        <w:t xml:space="preserve">аттестации от 10 февраля 1995 года </w:t>
      </w:r>
      <w:r w:rsidR="006F5FDE" w:rsidRPr="00BD7B68">
        <w:t xml:space="preserve">(с изменениями от 22.11.2007) </w:t>
      </w:r>
      <w:r w:rsidRPr="00BD7B68">
        <w:t>(далее – Соглашение),</w:t>
      </w:r>
      <w:bookmarkStart w:id="0" w:name="_GoBack"/>
      <w:bookmarkEnd w:id="0"/>
    </w:p>
    <w:p w:rsidR="008D17F2" w:rsidRDefault="008D17F2" w:rsidP="00F86033">
      <w:pPr>
        <w:spacing w:before="180" w:after="180"/>
        <w:ind w:firstLine="567"/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согласились о нижеследующем:</w:t>
      </w:r>
    </w:p>
    <w:p w:rsidR="008D17F2" w:rsidRDefault="00F86033" w:rsidP="00F86033">
      <w:pPr>
        <w:pStyle w:val="a7"/>
        <w:numPr>
          <w:ilvl w:val="0"/>
          <w:numId w:val="1"/>
        </w:numPr>
        <w:tabs>
          <w:tab w:val="clear" w:pos="1080"/>
        </w:tabs>
        <w:ind w:left="0" w:firstLine="567"/>
      </w:pPr>
      <w:r>
        <w:t xml:space="preserve"> </w:t>
      </w:r>
      <w:r w:rsidR="008D17F2">
        <w:t>Внести в Соглашение следующие изменения и дополнения:</w:t>
      </w:r>
    </w:p>
    <w:p w:rsidR="008D17F2" w:rsidRDefault="00F86033" w:rsidP="00F86033">
      <w:pPr>
        <w:spacing w:before="240"/>
        <w:ind w:firstLine="567"/>
        <w:jc w:val="both"/>
        <w:rPr>
          <w:sz w:val="28"/>
        </w:rPr>
      </w:pPr>
      <w:r>
        <w:rPr>
          <w:sz w:val="28"/>
        </w:rPr>
        <w:t>1.1. Н</w:t>
      </w:r>
      <w:r w:rsidR="008D17F2">
        <w:rPr>
          <w:sz w:val="28"/>
        </w:rPr>
        <w:t>азвание Соглашения после слов «</w:t>
      </w:r>
      <w:r w:rsidR="006F5FDE">
        <w:rPr>
          <w:sz w:val="28"/>
        </w:rPr>
        <w:t>средств измерений</w:t>
      </w:r>
      <w:r w:rsidR="008D17F2">
        <w:rPr>
          <w:sz w:val="28"/>
        </w:rPr>
        <w:t xml:space="preserve">» </w:t>
      </w:r>
      <w:r>
        <w:rPr>
          <w:sz w:val="28"/>
        </w:rPr>
        <w:t xml:space="preserve">дополнить </w:t>
      </w:r>
      <w:r w:rsidR="008D17F2">
        <w:rPr>
          <w:sz w:val="28"/>
        </w:rPr>
        <w:t>словами «</w:t>
      </w:r>
      <w:r w:rsidR="006F5FDE">
        <w:rPr>
          <w:sz w:val="28"/>
        </w:rPr>
        <w:t>образцов для проверки квалификации</w:t>
      </w:r>
      <w:r w:rsidR="008D17F2">
        <w:rPr>
          <w:sz w:val="28"/>
        </w:rPr>
        <w:t>», далее по тексту.</w:t>
      </w:r>
    </w:p>
    <w:p w:rsidR="008D17F2" w:rsidRDefault="006D5B14" w:rsidP="00F86033">
      <w:pPr>
        <w:spacing w:before="240"/>
        <w:ind w:firstLine="567"/>
        <w:jc w:val="both"/>
        <w:rPr>
          <w:sz w:val="28"/>
        </w:rPr>
      </w:pPr>
      <w:r>
        <w:rPr>
          <w:sz w:val="28"/>
        </w:rPr>
        <w:t>1.2. А</w:t>
      </w:r>
      <w:r w:rsidR="008D17F2">
        <w:rPr>
          <w:sz w:val="28"/>
        </w:rPr>
        <w:t xml:space="preserve">бзац </w:t>
      </w:r>
      <w:r w:rsidR="001147F3">
        <w:rPr>
          <w:sz w:val="28"/>
        </w:rPr>
        <w:t>четвертый</w:t>
      </w:r>
      <w:r w:rsidR="008D17F2">
        <w:rPr>
          <w:sz w:val="28"/>
        </w:rPr>
        <w:t xml:space="preserve"> преамбулы после слов «</w:t>
      </w:r>
      <w:r w:rsidR="001147F3">
        <w:rPr>
          <w:sz w:val="28"/>
        </w:rPr>
        <w:t>утвержденных типов</w:t>
      </w:r>
      <w:r w:rsidR="008D17F2">
        <w:rPr>
          <w:sz w:val="28"/>
        </w:rPr>
        <w:t xml:space="preserve">» </w:t>
      </w:r>
      <w:r>
        <w:rPr>
          <w:sz w:val="28"/>
        </w:rPr>
        <w:t xml:space="preserve">дополнить </w:t>
      </w:r>
      <w:r w:rsidR="008D17F2">
        <w:rPr>
          <w:sz w:val="28"/>
        </w:rPr>
        <w:t>словами «</w:t>
      </w:r>
      <w:r w:rsidR="001147F3" w:rsidRPr="001147F3">
        <w:rPr>
          <w:sz w:val="28"/>
        </w:rPr>
        <w:t>образц</w:t>
      </w:r>
      <w:r w:rsidR="001147F3">
        <w:rPr>
          <w:sz w:val="28"/>
        </w:rPr>
        <w:t>ах</w:t>
      </w:r>
      <w:r w:rsidR="001147F3" w:rsidRPr="001147F3">
        <w:rPr>
          <w:sz w:val="28"/>
        </w:rPr>
        <w:t xml:space="preserve"> для проверки квалификации</w:t>
      </w:r>
      <w:r w:rsidR="008D17F2">
        <w:rPr>
          <w:sz w:val="28"/>
        </w:rPr>
        <w:t>», далее по тексту.</w:t>
      </w:r>
    </w:p>
    <w:p w:rsidR="001147F3" w:rsidRDefault="001147F3" w:rsidP="00F86033">
      <w:pPr>
        <w:spacing w:before="240"/>
        <w:ind w:firstLine="567"/>
        <w:jc w:val="both"/>
        <w:rPr>
          <w:sz w:val="28"/>
        </w:rPr>
      </w:pPr>
      <w:r>
        <w:rPr>
          <w:sz w:val="28"/>
        </w:rPr>
        <w:t xml:space="preserve">1.3 </w:t>
      </w:r>
      <w:r w:rsidRPr="001147F3">
        <w:rPr>
          <w:sz w:val="28"/>
        </w:rPr>
        <w:t xml:space="preserve">Статью </w:t>
      </w:r>
      <w:r>
        <w:rPr>
          <w:sz w:val="28"/>
        </w:rPr>
        <w:t>1</w:t>
      </w:r>
      <w:r w:rsidRPr="001147F3">
        <w:rPr>
          <w:sz w:val="28"/>
        </w:rPr>
        <w:t xml:space="preserve"> после слов «</w:t>
      </w:r>
      <w:r>
        <w:rPr>
          <w:sz w:val="28"/>
        </w:rPr>
        <w:t>средства измерений</w:t>
      </w:r>
      <w:r w:rsidRPr="001147F3">
        <w:rPr>
          <w:sz w:val="28"/>
        </w:rPr>
        <w:t>» дополнить словами «</w:t>
      </w:r>
      <w:r>
        <w:rPr>
          <w:sz w:val="28"/>
        </w:rPr>
        <w:t>образцы для проверки квалификации, представляемые признанными в государствах (аккредитованными) провайдерами проверки квалификации</w:t>
      </w:r>
      <w:r w:rsidRPr="001147F3">
        <w:rPr>
          <w:sz w:val="28"/>
        </w:rPr>
        <w:t>», далее по тексту.</w:t>
      </w:r>
    </w:p>
    <w:p w:rsidR="008D17F2" w:rsidRDefault="008D17F2" w:rsidP="00F86033">
      <w:pPr>
        <w:pStyle w:val="a7"/>
        <w:spacing w:before="240"/>
        <w:ind w:firstLine="567"/>
      </w:pPr>
      <w:r>
        <w:t>2. Споры и разногласия относительно толкования или применения настоящего Протокола разрешаются путем проведения переговоров и консультаций, если Стороны не договорятся об ином.</w:t>
      </w:r>
    </w:p>
    <w:p w:rsidR="008D17F2" w:rsidRDefault="00CD21E4" w:rsidP="00F86033">
      <w:pPr>
        <w:pStyle w:val="a7"/>
        <w:numPr>
          <w:ilvl w:val="0"/>
          <w:numId w:val="2"/>
        </w:numPr>
        <w:tabs>
          <w:tab w:val="clear" w:pos="1080"/>
        </w:tabs>
        <w:spacing w:before="240"/>
        <w:ind w:left="0" w:firstLine="567"/>
      </w:pPr>
      <w:r>
        <w:t xml:space="preserve"> </w:t>
      </w:r>
      <w:r w:rsidR="008D17F2">
        <w:t>Настоящий Протокол вступает в силу с даты сдачи на хранение депозитарию третьего уведомления о выполнении государствами внутригосударственных процедур, необходимых для его вступления в силу.</w:t>
      </w:r>
    </w:p>
    <w:p w:rsidR="008D17F2" w:rsidRDefault="008D17F2" w:rsidP="00F86033">
      <w:pPr>
        <w:pStyle w:val="30"/>
        <w:spacing w:before="360" w:after="360"/>
        <w:ind w:firstLine="567"/>
      </w:pPr>
      <w:r>
        <w:t xml:space="preserve">Совершено в городе </w:t>
      </w:r>
      <w:r>
        <w:tab/>
      </w:r>
      <w:r>
        <w:tab/>
      </w:r>
      <w:r>
        <w:tab/>
      </w:r>
      <w:r>
        <w:tab/>
      </w:r>
      <w:r>
        <w:tab/>
        <w:t>20</w:t>
      </w:r>
      <w:r w:rsidR="00E60552">
        <w:t>2</w:t>
      </w:r>
      <w:r>
        <w:t>__ 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каждому государству, подписавшему настоящий Протокол,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6"/>
        <w:gridCol w:w="4856"/>
      </w:tblGrid>
      <w:tr w:rsidR="00043761">
        <w:tc>
          <w:tcPr>
            <w:tcW w:w="4856" w:type="dxa"/>
          </w:tcPr>
          <w:p w:rsidR="00043761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За Правительство</w:t>
            </w:r>
            <w:r>
              <w:rPr>
                <w:b/>
                <w:sz w:val="28"/>
              </w:rPr>
              <w:br/>
              <w:t>Азербайджанской Республики</w:t>
            </w:r>
          </w:p>
        </w:tc>
        <w:tc>
          <w:tcPr>
            <w:tcW w:w="4856" w:type="dxa"/>
          </w:tcPr>
          <w:p w:rsidR="00043761" w:rsidRPr="003D19DA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  <w:szCs w:val="28"/>
              </w:rPr>
            </w:pPr>
            <w:r w:rsidRPr="003D19DA">
              <w:rPr>
                <w:b/>
                <w:sz w:val="28"/>
                <w:szCs w:val="28"/>
              </w:rPr>
              <w:t>За Правительство</w:t>
            </w:r>
            <w:r w:rsidRPr="003D19DA">
              <w:rPr>
                <w:b/>
                <w:sz w:val="28"/>
                <w:szCs w:val="28"/>
              </w:rPr>
              <w:br/>
              <w:t>Российской Федерации</w:t>
            </w:r>
          </w:p>
        </w:tc>
      </w:tr>
      <w:tr w:rsidR="00043761">
        <w:tc>
          <w:tcPr>
            <w:tcW w:w="4856" w:type="dxa"/>
          </w:tcPr>
          <w:p w:rsidR="00043761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</w:rPr>
            </w:pPr>
            <w:r>
              <w:rPr>
                <w:b/>
                <w:sz w:val="28"/>
              </w:rPr>
              <w:t>За Правительство</w:t>
            </w:r>
            <w:r>
              <w:rPr>
                <w:b/>
                <w:sz w:val="28"/>
              </w:rPr>
              <w:br/>
              <w:t>Республики Армения</w:t>
            </w:r>
          </w:p>
        </w:tc>
        <w:tc>
          <w:tcPr>
            <w:tcW w:w="4856" w:type="dxa"/>
          </w:tcPr>
          <w:p w:rsidR="00043761" w:rsidRPr="003D19DA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  <w:szCs w:val="28"/>
              </w:rPr>
            </w:pPr>
            <w:r w:rsidRPr="003D19DA">
              <w:rPr>
                <w:b/>
                <w:sz w:val="28"/>
                <w:szCs w:val="28"/>
              </w:rPr>
              <w:t>За Правительство</w:t>
            </w:r>
            <w:r w:rsidRPr="003D19DA">
              <w:rPr>
                <w:b/>
                <w:sz w:val="28"/>
                <w:szCs w:val="28"/>
              </w:rPr>
              <w:br/>
              <w:t>Республики Таджикистан</w:t>
            </w:r>
          </w:p>
        </w:tc>
      </w:tr>
      <w:tr w:rsidR="00043761">
        <w:tc>
          <w:tcPr>
            <w:tcW w:w="4856" w:type="dxa"/>
          </w:tcPr>
          <w:p w:rsidR="00043761" w:rsidRDefault="00043761" w:rsidP="00043761">
            <w:pPr>
              <w:spacing w:after="600"/>
              <w:rPr>
                <w:b/>
                <w:sz w:val="28"/>
              </w:rPr>
            </w:pPr>
            <w:r>
              <w:rPr>
                <w:b/>
                <w:sz w:val="28"/>
              </w:rPr>
              <w:t>За Правительство</w:t>
            </w:r>
            <w:r>
              <w:rPr>
                <w:b/>
                <w:sz w:val="28"/>
              </w:rPr>
              <w:br/>
              <w:t>Республики Беларусь</w:t>
            </w:r>
          </w:p>
        </w:tc>
        <w:tc>
          <w:tcPr>
            <w:tcW w:w="4856" w:type="dxa"/>
          </w:tcPr>
          <w:p w:rsidR="00043761" w:rsidRPr="003D19DA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  <w:szCs w:val="28"/>
              </w:rPr>
            </w:pPr>
            <w:r w:rsidRPr="003D19DA">
              <w:rPr>
                <w:b/>
                <w:sz w:val="28"/>
                <w:szCs w:val="28"/>
              </w:rPr>
              <w:t>За Правительство</w:t>
            </w:r>
            <w:r w:rsidRPr="003D19DA">
              <w:rPr>
                <w:b/>
                <w:sz w:val="28"/>
                <w:szCs w:val="28"/>
              </w:rPr>
              <w:br/>
              <w:t>Туркменистана</w:t>
            </w:r>
          </w:p>
        </w:tc>
      </w:tr>
      <w:tr w:rsidR="00043761">
        <w:tc>
          <w:tcPr>
            <w:tcW w:w="4856" w:type="dxa"/>
          </w:tcPr>
          <w:p w:rsidR="00043761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</w:rPr>
            </w:pPr>
            <w:r>
              <w:rPr>
                <w:b/>
                <w:sz w:val="28"/>
              </w:rPr>
              <w:t>За Правительство</w:t>
            </w:r>
            <w:r>
              <w:rPr>
                <w:b/>
                <w:sz w:val="28"/>
              </w:rPr>
              <w:br/>
              <w:t>Республики Казахстан</w:t>
            </w:r>
          </w:p>
        </w:tc>
        <w:tc>
          <w:tcPr>
            <w:tcW w:w="4856" w:type="dxa"/>
          </w:tcPr>
          <w:p w:rsidR="00043761" w:rsidRPr="003D19DA" w:rsidRDefault="00043761" w:rsidP="003D19DA">
            <w:pPr>
              <w:tabs>
                <w:tab w:val="left" w:pos="5387"/>
              </w:tabs>
              <w:spacing w:after="600"/>
              <w:rPr>
                <w:sz w:val="28"/>
                <w:szCs w:val="28"/>
              </w:rPr>
            </w:pPr>
            <w:r w:rsidRPr="003D19DA">
              <w:rPr>
                <w:b/>
                <w:sz w:val="28"/>
                <w:szCs w:val="28"/>
              </w:rPr>
              <w:t>За Правительство</w:t>
            </w:r>
            <w:r w:rsidRPr="003D19DA">
              <w:rPr>
                <w:b/>
                <w:sz w:val="28"/>
                <w:szCs w:val="28"/>
              </w:rPr>
              <w:br/>
              <w:t>Республики Узбекистан</w:t>
            </w:r>
          </w:p>
        </w:tc>
      </w:tr>
      <w:tr w:rsidR="00043761">
        <w:tc>
          <w:tcPr>
            <w:tcW w:w="4856" w:type="dxa"/>
          </w:tcPr>
          <w:p w:rsidR="00043761" w:rsidRDefault="00043761" w:rsidP="00043761">
            <w:pPr>
              <w:tabs>
                <w:tab w:val="left" w:pos="5387"/>
              </w:tabs>
              <w:spacing w:after="600"/>
              <w:rPr>
                <w:b/>
                <w:sz w:val="28"/>
              </w:rPr>
            </w:pPr>
            <w:r>
              <w:rPr>
                <w:b/>
                <w:sz w:val="28"/>
              </w:rPr>
              <w:t>За Правительство</w:t>
            </w:r>
            <w:r>
              <w:rPr>
                <w:b/>
                <w:sz w:val="28"/>
              </w:rPr>
              <w:br/>
            </w:r>
            <w:proofErr w:type="spellStart"/>
            <w:r>
              <w:rPr>
                <w:b/>
                <w:sz w:val="28"/>
              </w:rPr>
              <w:t>Кыргызской</w:t>
            </w:r>
            <w:proofErr w:type="spellEnd"/>
            <w:r>
              <w:rPr>
                <w:b/>
                <w:sz w:val="28"/>
              </w:rPr>
              <w:t xml:space="preserve"> Республики</w:t>
            </w:r>
          </w:p>
        </w:tc>
        <w:tc>
          <w:tcPr>
            <w:tcW w:w="4856" w:type="dxa"/>
          </w:tcPr>
          <w:p w:rsidR="00043761" w:rsidRPr="003D19DA" w:rsidRDefault="00043761" w:rsidP="00043761">
            <w:pPr>
              <w:tabs>
                <w:tab w:val="left" w:pos="5387"/>
              </w:tabs>
              <w:rPr>
                <w:b/>
                <w:sz w:val="28"/>
                <w:szCs w:val="28"/>
              </w:rPr>
            </w:pPr>
            <w:r w:rsidRPr="003D19DA">
              <w:rPr>
                <w:b/>
                <w:sz w:val="28"/>
                <w:szCs w:val="28"/>
              </w:rPr>
              <w:t>За Правительство</w:t>
            </w:r>
            <w:r w:rsidRPr="003D19DA">
              <w:rPr>
                <w:b/>
                <w:sz w:val="28"/>
                <w:szCs w:val="28"/>
              </w:rPr>
              <w:br/>
              <w:t>Украины</w:t>
            </w:r>
          </w:p>
        </w:tc>
      </w:tr>
      <w:tr w:rsidR="008D17F2">
        <w:tc>
          <w:tcPr>
            <w:tcW w:w="4856" w:type="dxa"/>
          </w:tcPr>
          <w:p w:rsidR="008D17F2" w:rsidRDefault="00043761">
            <w:pPr>
              <w:tabs>
                <w:tab w:val="left" w:pos="5387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За Правительство</w:t>
            </w:r>
            <w:r>
              <w:rPr>
                <w:b/>
                <w:sz w:val="28"/>
              </w:rPr>
              <w:br/>
              <w:t>Республики Молдова</w:t>
            </w:r>
          </w:p>
        </w:tc>
        <w:tc>
          <w:tcPr>
            <w:tcW w:w="4856" w:type="dxa"/>
          </w:tcPr>
          <w:p w:rsidR="008D17F2" w:rsidRDefault="008D17F2">
            <w:pPr>
              <w:tabs>
                <w:tab w:val="left" w:pos="5387"/>
              </w:tabs>
              <w:rPr>
                <w:b/>
                <w:sz w:val="28"/>
              </w:rPr>
            </w:pPr>
          </w:p>
        </w:tc>
      </w:tr>
    </w:tbl>
    <w:p w:rsidR="008D17F2" w:rsidRDefault="008D17F2">
      <w:pPr>
        <w:pStyle w:val="a7"/>
        <w:spacing w:before="240"/>
      </w:pPr>
    </w:p>
    <w:p w:rsidR="008D17F2" w:rsidRDefault="008D17F2">
      <w:pPr>
        <w:spacing w:line="300" w:lineRule="exact"/>
        <w:ind w:firstLine="709"/>
        <w:jc w:val="both"/>
        <w:rPr>
          <w:sz w:val="28"/>
        </w:rPr>
      </w:pPr>
    </w:p>
    <w:sectPr w:rsidR="008D17F2" w:rsidSect="000C1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709" w:bottom="1134" w:left="1559" w:header="39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2C" w:rsidRDefault="008B3E2C">
      <w:r>
        <w:separator/>
      </w:r>
    </w:p>
  </w:endnote>
  <w:endnote w:type="continuationSeparator" w:id="0">
    <w:p w:rsidR="008B3E2C" w:rsidRDefault="008B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7D" w:rsidRDefault="001158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7D" w:rsidRDefault="0011587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7D" w:rsidRDefault="001158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2C" w:rsidRDefault="008B3E2C">
      <w:r>
        <w:separator/>
      </w:r>
    </w:p>
  </w:footnote>
  <w:footnote w:type="continuationSeparator" w:id="0">
    <w:p w:rsidR="008B3E2C" w:rsidRDefault="008B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7D" w:rsidRDefault="001158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F2" w:rsidRDefault="008D17F2">
    <w:pPr>
      <w:pStyle w:val="a3"/>
      <w:widowControl/>
      <w:jc w:val="center"/>
      <w:rPr>
        <w:rFonts w:ascii="Times New Roman CYR" w:hAnsi="Times New Roman CYR"/>
      </w:rPr>
    </w:pPr>
    <w:r>
      <w:rPr>
        <w:rStyle w:val="a5"/>
        <w:rFonts w:ascii="Times New Roman CYR" w:hAnsi="Times New Roman CYR"/>
        <w:sz w:val="28"/>
      </w:rPr>
      <w:fldChar w:fldCharType="begin"/>
    </w:r>
    <w:r>
      <w:rPr>
        <w:rStyle w:val="a5"/>
        <w:rFonts w:ascii="Times New Roman CYR" w:hAnsi="Times New Roman CYR"/>
        <w:sz w:val="28"/>
      </w:rPr>
      <w:instrText xml:space="preserve">PAGE </w:instrText>
    </w:r>
    <w:r>
      <w:rPr>
        <w:rStyle w:val="a5"/>
        <w:rFonts w:ascii="Times New Roman CYR" w:hAnsi="Times New Roman CYR"/>
        <w:sz w:val="28"/>
      </w:rPr>
      <w:fldChar w:fldCharType="separate"/>
    </w:r>
    <w:r w:rsidR="00BD7B68">
      <w:rPr>
        <w:rStyle w:val="a5"/>
        <w:rFonts w:ascii="Times New Roman CYR" w:hAnsi="Times New Roman CYR"/>
        <w:noProof/>
        <w:sz w:val="28"/>
      </w:rPr>
      <w:t>2</w:t>
    </w:r>
    <w:r>
      <w:rPr>
        <w:rStyle w:val="a5"/>
        <w:rFonts w:ascii="Times New Roman CYR" w:hAnsi="Times New Roman CYR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19" w:rsidRPr="00797C65" w:rsidRDefault="000C1E19" w:rsidP="0011587D">
    <w:pPr>
      <w:widowControl w:val="0"/>
      <w:ind w:firstLine="2381"/>
      <w:jc w:val="center"/>
      <w:rPr>
        <w:rFonts w:ascii="Arial" w:eastAsia="Arial" w:hAnsi="Arial" w:cs="Arial"/>
        <w:bCs/>
        <w:spacing w:val="2"/>
        <w:sz w:val="24"/>
        <w:szCs w:val="24"/>
        <w:lang w:eastAsia="en-US"/>
      </w:rPr>
    </w:pPr>
    <w:r w:rsidRPr="00797C65">
      <w:rPr>
        <w:rFonts w:ascii="Arial" w:eastAsia="Arial" w:hAnsi="Arial" w:cs="Arial"/>
        <w:bCs/>
        <w:sz w:val="24"/>
        <w:szCs w:val="24"/>
        <w:lang w:eastAsia="en-US"/>
      </w:rPr>
      <w:t>Приложение</w:t>
    </w:r>
    <w:r w:rsidRPr="00797C65">
      <w:rPr>
        <w:rFonts w:ascii="Arial" w:eastAsia="Arial" w:hAnsi="Arial" w:cs="Arial"/>
        <w:bCs/>
        <w:spacing w:val="2"/>
        <w:sz w:val="24"/>
        <w:szCs w:val="24"/>
        <w:lang w:eastAsia="en-US"/>
      </w:rPr>
      <w:t xml:space="preserve"> </w:t>
    </w:r>
    <w:r w:rsidRPr="00797C65">
      <w:rPr>
        <w:rFonts w:ascii="Arial" w:eastAsia="Arial" w:hAnsi="Arial" w:cs="Arial"/>
        <w:bCs/>
        <w:sz w:val="24"/>
        <w:szCs w:val="24"/>
        <w:lang w:eastAsia="en-US"/>
      </w:rPr>
      <w:t>№</w:t>
    </w:r>
    <w:r>
      <w:rPr>
        <w:rFonts w:ascii="Arial" w:eastAsia="Arial" w:hAnsi="Arial" w:cs="Arial"/>
        <w:bCs/>
        <w:spacing w:val="2"/>
        <w:sz w:val="24"/>
        <w:szCs w:val="24"/>
        <w:lang w:eastAsia="en-US"/>
      </w:rPr>
      <w:t xml:space="preserve"> 4</w:t>
    </w:r>
  </w:p>
  <w:p w:rsidR="00797C65" w:rsidRPr="00797C65" w:rsidRDefault="000C1E19" w:rsidP="000C1E19">
    <w:pPr>
      <w:widowControl w:val="0"/>
      <w:jc w:val="right"/>
      <w:rPr>
        <w:rFonts w:eastAsia="Arial"/>
      </w:rPr>
    </w:pPr>
    <w:r w:rsidRPr="00797C65">
      <w:rPr>
        <w:rFonts w:ascii="Arial" w:eastAsia="Arial" w:hAnsi="Arial" w:cs="Arial"/>
        <w:bCs/>
        <w:sz w:val="24"/>
        <w:szCs w:val="24"/>
        <w:lang w:eastAsia="en-US"/>
      </w:rPr>
      <w:t>к</w:t>
    </w:r>
    <w:r w:rsidRPr="00797C65">
      <w:rPr>
        <w:rFonts w:ascii="Arial" w:eastAsia="Arial" w:hAnsi="Arial" w:cs="Arial"/>
        <w:bCs/>
        <w:spacing w:val="2"/>
        <w:sz w:val="24"/>
        <w:szCs w:val="24"/>
        <w:lang w:eastAsia="en-US"/>
      </w:rPr>
      <w:t xml:space="preserve"> </w:t>
    </w:r>
    <w:r w:rsidRPr="00797C65">
      <w:rPr>
        <w:rFonts w:ascii="Arial" w:eastAsia="Arial" w:hAnsi="Arial" w:cs="Arial"/>
        <w:bCs/>
        <w:sz w:val="24"/>
        <w:szCs w:val="24"/>
        <w:lang w:eastAsia="en-US"/>
      </w:rPr>
      <w:t xml:space="preserve">протоколу </w:t>
    </w:r>
    <w:r w:rsidRPr="00797C65">
      <w:rPr>
        <w:rFonts w:ascii="Arial" w:eastAsia="Arial" w:hAnsi="Arial" w:cs="Arial"/>
        <w:bCs/>
        <w:spacing w:val="2"/>
        <w:sz w:val="24"/>
        <w:szCs w:val="24"/>
        <w:lang w:eastAsia="en-US"/>
      </w:rPr>
      <w:t xml:space="preserve">РГ МСИ </w:t>
    </w:r>
    <w:proofErr w:type="spellStart"/>
    <w:r w:rsidRPr="00797C65">
      <w:rPr>
        <w:rFonts w:ascii="Arial" w:eastAsia="Arial" w:hAnsi="Arial" w:cs="Arial"/>
        <w:bCs/>
        <w:spacing w:val="2"/>
        <w:sz w:val="24"/>
        <w:szCs w:val="24"/>
        <w:lang w:eastAsia="en-US"/>
      </w:rPr>
      <w:t>НТКМетр</w:t>
    </w:r>
    <w:proofErr w:type="spellEnd"/>
    <w:r w:rsidRPr="00797C65">
      <w:rPr>
        <w:rFonts w:ascii="Arial" w:eastAsia="Arial" w:hAnsi="Arial" w:cs="Arial"/>
        <w:bCs/>
        <w:spacing w:val="2"/>
        <w:sz w:val="24"/>
        <w:szCs w:val="24"/>
        <w:lang w:eastAsia="en-US"/>
      </w:rPr>
      <w:t xml:space="preserve"> </w:t>
    </w:r>
    <w:r w:rsidRPr="00797C65">
      <w:rPr>
        <w:rFonts w:ascii="Arial" w:eastAsia="Arial" w:hAnsi="Arial" w:cs="Arial"/>
        <w:bCs/>
        <w:sz w:val="24"/>
        <w:szCs w:val="24"/>
        <w:lang w:eastAsia="en-US"/>
      </w:rPr>
      <w:t>№11</w:t>
    </w:r>
    <w:r w:rsidRPr="00797C65">
      <w:rPr>
        <w:rFonts w:ascii="Arial" w:eastAsia="Arial" w:hAnsi="Arial" w:cs="Arial"/>
        <w:bCs/>
        <w:spacing w:val="1"/>
        <w:sz w:val="24"/>
        <w:szCs w:val="24"/>
        <w:lang w:eastAsia="en-US"/>
      </w:rPr>
      <w:t>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A00"/>
    <w:multiLevelType w:val="multilevel"/>
    <w:tmpl w:val="23DE80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2F6D1566"/>
    <w:multiLevelType w:val="multilevel"/>
    <w:tmpl w:val="4080F5EC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defaultTabStop w:val="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58"/>
    <w:rsid w:val="00023E60"/>
    <w:rsid w:val="00043761"/>
    <w:rsid w:val="000C1E19"/>
    <w:rsid w:val="000D2083"/>
    <w:rsid w:val="000F7AD4"/>
    <w:rsid w:val="001147F3"/>
    <w:rsid w:val="0011587D"/>
    <w:rsid w:val="001C2B62"/>
    <w:rsid w:val="00317CDC"/>
    <w:rsid w:val="003D19DA"/>
    <w:rsid w:val="00441558"/>
    <w:rsid w:val="00450489"/>
    <w:rsid w:val="00511D2E"/>
    <w:rsid w:val="00546562"/>
    <w:rsid w:val="006D3D39"/>
    <w:rsid w:val="006D5B14"/>
    <w:rsid w:val="006F5FDE"/>
    <w:rsid w:val="007237D9"/>
    <w:rsid w:val="00776069"/>
    <w:rsid w:val="00797C65"/>
    <w:rsid w:val="008026F8"/>
    <w:rsid w:val="00853089"/>
    <w:rsid w:val="008B3E2C"/>
    <w:rsid w:val="008C6F3F"/>
    <w:rsid w:val="008D17F2"/>
    <w:rsid w:val="00AF5D9F"/>
    <w:rsid w:val="00B055ED"/>
    <w:rsid w:val="00BD7B68"/>
    <w:rsid w:val="00C267DC"/>
    <w:rsid w:val="00CB419A"/>
    <w:rsid w:val="00CD21E4"/>
    <w:rsid w:val="00E07BAC"/>
    <w:rsid w:val="00E60552"/>
    <w:rsid w:val="00F86033"/>
    <w:rsid w:val="00FA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qFormat/>
    <w:pPr>
      <w:keepNext/>
      <w:ind w:firstLine="5529"/>
      <w:outlineLvl w:val="3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widowControl w:val="0"/>
      <w:tabs>
        <w:tab w:val="center" w:pos="4677"/>
        <w:tab w:val="right" w:pos="9355"/>
      </w:tabs>
      <w:jc w:val="both"/>
    </w:pPr>
    <w:rPr>
      <w:sz w:val="28"/>
    </w:rPr>
  </w:style>
  <w:style w:type="paragraph" w:styleId="a4">
    <w:name w:val="footer"/>
    <w:basedOn w:val="a"/>
    <w:semiHidden/>
    <w:pPr>
      <w:widowControl w:val="0"/>
      <w:tabs>
        <w:tab w:val="center" w:pos="4677"/>
        <w:tab w:val="right" w:pos="9355"/>
      </w:tabs>
      <w:jc w:val="both"/>
    </w:pPr>
    <w:rPr>
      <w:sz w:val="28"/>
    </w:rPr>
  </w:style>
  <w:style w:type="character" w:styleId="a5">
    <w:name w:val="page number"/>
    <w:semiHidden/>
    <w:rPr>
      <w:sz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"/>
    <w:basedOn w:val="a"/>
    <w:semiHidden/>
    <w:pPr>
      <w:jc w:val="both"/>
    </w:pPr>
    <w:rPr>
      <w:sz w:val="28"/>
    </w:rPr>
  </w:style>
  <w:style w:type="paragraph" w:styleId="30">
    <w:name w:val="Body Text Indent 3"/>
    <w:basedOn w:val="a"/>
    <w:semiHidden/>
    <w:pPr>
      <w:spacing w:before="24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qFormat/>
    <w:pPr>
      <w:keepNext/>
      <w:ind w:firstLine="5529"/>
      <w:outlineLvl w:val="3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widowControl w:val="0"/>
      <w:tabs>
        <w:tab w:val="center" w:pos="4677"/>
        <w:tab w:val="right" w:pos="9355"/>
      </w:tabs>
      <w:jc w:val="both"/>
    </w:pPr>
    <w:rPr>
      <w:sz w:val="28"/>
    </w:rPr>
  </w:style>
  <w:style w:type="paragraph" w:styleId="a4">
    <w:name w:val="footer"/>
    <w:basedOn w:val="a"/>
    <w:semiHidden/>
    <w:pPr>
      <w:widowControl w:val="0"/>
      <w:tabs>
        <w:tab w:val="center" w:pos="4677"/>
        <w:tab w:val="right" w:pos="9355"/>
      </w:tabs>
      <w:jc w:val="both"/>
    </w:pPr>
    <w:rPr>
      <w:sz w:val="28"/>
    </w:rPr>
  </w:style>
  <w:style w:type="character" w:styleId="a5">
    <w:name w:val="page number"/>
    <w:semiHidden/>
    <w:rPr>
      <w:sz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"/>
    <w:basedOn w:val="a"/>
    <w:semiHidden/>
    <w:pPr>
      <w:jc w:val="both"/>
    </w:pPr>
    <w:rPr>
      <w:sz w:val="28"/>
    </w:rPr>
  </w:style>
  <w:style w:type="paragraph" w:styleId="30">
    <w:name w:val="Body Text Indent 3"/>
    <w:basedOn w:val="a"/>
    <w:semiHidden/>
    <w:pPr>
      <w:spacing w:before="24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noname</dc:creator>
  <cp:keywords/>
  <cp:lastModifiedBy>user</cp:lastModifiedBy>
  <cp:revision>3</cp:revision>
  <cp:lastPrinted>2006-11-16T08:57:00Z</cp:lastPrinted>
  <dcterms:created xsi:type="dcterms:W3CDTF">2020-10-26T13:10:00Z</dcterms:created>
  <dcterms:modified xsi:type="dcterms:W3CDTF">2020-11-02T10:23:00Z</dcterms:modified>
</cp:coreProperties>
</file>